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47" w:rsidRDefault="00FB1047" w:rsidP="00FB1047">
      <w:pPr>
        <w:widowControl/>
        <w:rPr>
          <w:rFonts w:hint="eastAsia"/>
          <w:b/>
          <w:bCs/>
          <w:kern w:val="0"/>
          <w:sz w:val="24"/>
          <w:lang w:bidi="ar"/>
        </w:rPr>
      </w:pPr>
      <w:bookmarkStart w:id="0" w:name="_GoBack"/>
      <w:r>
        <w:rPr>
          <w:rFonts w:hint="eastAsia"/>
          <w:b/>
          <w:bCs/>
          <w:kern w:val="0"/>
          <w:sz w:val="24"/>
          <w:lang w:bidi="ar"/>
        </w:rPr>
        <w:t>附件</w:t>
      </w:r>
      <w:r>
        <w:rPr>
          <w:rFonts w:hint="eastAsia"/>
          <w:b/>
          <w:bCs/>
          <w:kern w:val="0"/>
          <w:sz w:val="24"/>
          <w:lang w:bidi="ar"/>
        </w:rPr>
        <w:t>4</w:t>
      </w:r>
      <w:r>
        <w:rPr>
          <w:rFonts w:hint="eastAsia"/>
          <w:b/>
          <w:bCs/>
          <w:kern w:val="0"/>
          <w:sz w:val="24"/>
          <w:lang w:bidi="ar"/>
        </w:rPr>
        <w:t>：</w:t>
      </w:r>
      <w:r>
        <w:rPr>
          <w:rFonts w:ascii="宋体" w:hAnsi="宋体" w:cs="宋体" w:hint="eastAsia"/>
          <w:b/>
          <w:bCs/>
          <w:color w:val="000000"/>
          <w:kern w:val="0"/>
          <w:sz w:val="22"/>
        </w:rPr>
        <w:t>全自动软式内镜清洗消毒器（限价9.9万）</w:t>
      </w:r>
    </w:p>
    <w:tbl>
      <w:tblPr>
        <w:tblW w:w="9000" w:type="dxa"/>
        <w:tblInd w:w="93" w:type="dxa"/>
        <w:tblLook w:val="0000" w:firstRow="0" w:lastRow="0" w:firstColumn="0" w:lastColumn="0" w:noHBand="0" w:noVBand="0"/>
      </w:tblPr>
      <w:tblGrid>
        <w:gridCol w:w="1111"/>
        <w:gridCol w:w="2067"/>
        <w:gridCol w:w="5822"/>
      </w:tblGrid>
      <w:tr w:rsidR="00FB1047" w:rsidTr="004109C1">
        <w:trPr>
          <w:trHeight w:val="288"/>
        </w:trPr>
        <w:tc>
          <w:tcPr>
            <w:tcW w:w="9000" w:type="dxa"/>
            <w:gridSpan w:val="3"/>
            <w:tcBorders>
              <w:top w:val="single" w:sz="4" w:space="0" w:color="auto"/>
              <w:left w:val="single" w:sz="4" w:space="0" w:color="auto"/>
              <w:bottom w:val="single" w:sz="4" w:space="0" w:color="auto"/>
              <w:right w:val="single" w:sz="4" w:space="0" w:color="000000"/>
            </w:tcBorders>
            <w:noWrap/>
            <w:vAlign w:val="center"/>
          </w:tcPr>
          <w:bookmarkEnd w:id="0"/>
          <w:p w:rsidR="00FB1047" w:rsidRDefault="00FB1047" w:rsidP="004109C1">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全自动软式内镜清洗消毒器 </w:t>
            </w:r>
          </w:p>
        </w:tc>
      </w:tr>
      <w:tr w:rsidR="00FB1047" w:rsidTr="004109C1">
        <w:trPr>
          <w:trHeight w:val="288"/>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right"/>
              <w:rPr>
                <w:rFonts w:ascii="Arial" w:hAnsi="Arial" w:cs="Arial" w:hint="eastAsia"/>
                <w:b/>
                <w:bCs/>
                <w:color w:val="000000"/>
                <w:kern w:val="0"/>
                <w:sz w:val="22"/>
              </w:rPr>
            </w:pPr>
            <w:r>
              <w:rPr>
                <w:rFonts w:ascii="Arial" w:hAnsi="Arial" w:cs="Arial" w:hint="eastAsia"/>
                <w:b/>
                <w:bCs/>
                <w:color w:val="000000"/>
                <w:kern w:val="0"/>
                <w:sz w:val="22"/>
              </w:rPr>
              <w:t>1</w:t>
            </w:r>
          </w:p>
        </w:tc>
        <w:tc>
          <w:tcPr>
            <w:tcW w:w="7889" w:type="dxa"/>
            <w:gridSpan w:val="2"/>
            <w:tcBorders>
              <w:top w:val="single" w:sz="4" w:space="0" w:color="auto"/>
              <w:left w:val="nil"/>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b/>
                <w:bCs/>
                <w:color w:val="000000"/>
                <w:kern w:val="0"/>
                <w:sz w:val="22"/>
              </w:rPr>
            </w:pPr>
            <w:r>
              <w:rPr>
                <w:rFonts w:ascii="宋体" w:hAnsi="宋体" w:cs="宋体" w:hint="eastAsia"/>
                <w:b/>
                <w:bCs/>
                <w:color w:val="000000"/>
                <w:kern w:val="0"/>
                <w:sz w:val="22"/>
              </w:rPr>
              <w:t>技术要求</w:t>
            </w:r>
          </w:p>
        </w:tc>
      </w:tr>
      <w:tr w:rsidR="00FB1047" w:rsidTr="004109C1">
        <w:trPr>
          <w:trHeight w:val="288"/>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right"/>
              <w:rPr>
                <w:rFonts w:ascii="Arial" w:hAnsi="Arial" w:cs="Arial"/>
                <w:b/>
                <w:bCs/>
                <w:color w:val="000000"/>
                <w:kern w:val="0"/>
                <w:sz w:val="22"/>
              </w:rPr>
            </w:pPr>
            <w:r>
              <w:rPr>
                <w:rFonts w:ascii="Arial" w:hAnsi="Arial" w:cs="Arial"/>
                <w:b/>
                <w:bCs/>
                <w:color w:val="000000"/>
                <w:kern w:val="0"/>
                <w:sz w:val="22"/>
              </w:rPr>
              <w:t>1.1</w:t>
            </w:r>
          </w:p>
        </w:tc>
        <w:tc>
          <w:tcPr>
            <w:tcW w:w="7889" w:type="dxa"/>
            <w:gridSpan w:val="2"/>
            <w:tcBorders>
              <w:top w:val="single" w:sz="4" w:space="0" w:color="auto"/>
              <w:left w:val="nil"/>
              <w:bottom w:val="single" w:sz="4" w:space="0" w:color="auto"/>
              <w:right w:val="single" w:sz="4" w:space="0" w:color="auto"/>
            </w:tcBorders>
            <w:noWrap/>
            <w:vAlign w:val="center"/>
          </w:tcPr>
          <w:p w:rsidR="00FB1047" w:rsidRDefault="00FB1047" w:rsidP="004109C1">
            <w:pPr>
              <w:widowControl/>
              <w:jc w:val="left"/>
              <w:rPr>
                <w:rFonts w:ascii="宋体" w:hAnsi="宋体" w:cs="宋体"/>
                <w:b/>
                <w:bCs/>
                <w:color w:val="000000"/>
                <w:kern w:val="0"/>
                <w:sz w:val="22"/>
              </w:rPr>
            </w:pPr>
            <w:r>
              <w:rPr>
                <w:rFonts w:ascii="宋体" w:hAnsi="宋体" w:cs="宋体" w:hint="eastAsia"/>
                <w:b/>
                <w:bCs/>
                <w:color w:val="000000"/>
                <w:kern w:val="0"/>
                <w:sz w:val="22"/>
              </w:rPr>
              <w:t>结构配置</w:t>
            </w:r>
          </w:p>
        </w:tc>
      </w:tr>
      <w:tr w:rsidR="00FB1047" w:rsidTr="004109C1">
        <w:trPr>
          <w:trHeight w:val="312"/>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1.1.1</w:t>
            </w:r>
          </w:p>
        </w:tc>
        <w:tc>
          <w:tcPr>
            <w:tcW w:w="2067"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消毒剂储存箱容量</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≥11L</w:t>
            </w:r>
          </w:p>
        </w:tc>
      </w:tr>
      <w:tr w:rsidR="00FB1047" w:rsidTr="004109C1">
        <w:trPr>
          <w:trHeight w:val="312"/>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1.1.2</w:t>
            </w:r>
          </w:p>
        </w:tc>
        <w:tc>
          <w:tcPr>
            <w:tcW w:w="2067"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proofErr w:type="gramStart"/>
            <w:r>
              <w:rPr>
                <w:rFonts w:ascii="宋体" w:hAnsi="宋体" w:cs="宋体" w:hint="eastAsia"/>
                <w:kern w:val="0"/>
                <w:sz w:val="22"/>
              </w:rPr>
              <w:t>适酶储存</w:t>
            </w:r>
            <w:proofErr w:type="gramEnd"/>
            <w:r>
              <w:rPr>
                <w:rFonts w:ascii="宋体" w:hAnsi="宋体" w:cs="宋体" w:hint="eastAsia"/>
                <w:kern w:val="0"/>
                <w:sz w:val="22"/>
              </w:rPr>
              <w:t>箱容量</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≥2.5L</w:t>
            </w:r>
          </w:p>
        </w:tc>
      </w:tr>
      <w:tr w:rsidR="00FB1047" w:rsidTr="004109C1">
        <w:trPr>
          <w:trHeight w:val="312"/>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1.1.3</w:t>
            </w:r>
          </w:p>
        </w:tc>
        <w:tc>
          <w:tcPr>
            <w:tcW w:w="2067"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酒精储存箱容量</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≥1L</w:t>
            </w:r>
          </w:p>
        </w:tc>
      </w:tr>
      <w:tr w:rsidR="00FB1047" w:rsidTr="004109C1">
        <w:trPr>
          <w:trHeight w:val="312"/>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1.1.4</w:t>
            </w:r>
          </w:p>
        </w:tc>
        <w:tc>
          <w:tcPr>
            <w:tcW w:w="2067"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测漏压力传感器</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采用进口压力传感器。</w:t>
            </w:r>
          </w:p>
        </w:tc>
      </w:tr>
      <w:tr w:rsidR="00FB1047" w:rsidTr="004109C1">
        <w:trPr>
          <w:trHeight w:val="312"/>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1.1.5</w:t>
            </w:r>
          </w:p>
        </w:tc>
        <w:tc>
          <w:tcPr>
            <w:tcW w:w="2067"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电磁阀</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采用进口电磁阀，</w:t>
            </w:r>
          </w:p>
        </w:tc>
      </w:tr>
      <w:tr w:rsidR="00FB1047" w:rsidTr="004109C1">
        <w:trPr>
          <w:trHeight w:val="312"/>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1.1.6</w:t>
            </w:r>
          </w:p>
        </w:tc>
        <w:tc>
          <w:tcPr>
            <w:tcW w:w="2067" w:type="dxa"/>
            <w:tcBorders>
              <w:top w:val="nil"/>
              <w:left w:val="nil"/>
              <w:bottom w:val="nil"/>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排水装置</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采用泵强制排水的方式，避免重力排水的弊端。</w:t>
            </w:r>
          </w:p>
        </w:tc>
      </w:tr>
      <w:tr w:rsidR="00FB1047" w:rsidTr="004109C1">
        <w:trPr>
          <w:trHeight w:val="624"/>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1.1.7</w:t>
            </w:r>
          </w:p>
        </w:tc>
        <w:tc>
          <w:tcPr>
            <w:tcW w:w="2067" w:type="dxa"/>
            <w:tcBorders>
              <w:top w:val="single" w:sz="4" w:space="0" w:color="auto"/>
              <w:left w:val="nil"/>
              <w:bottom w:val="nil"/>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水过滤器</w:t>
            </w:r>
          </w:p>
        </w:tc>
        <w:tc>
          <w:tcPr>
            <w:tcW w:w="5822" w:type="dxa"/>
            <w:tcBorders>
              <w:top w:val="nil"/>
              <w:left w:val="nil"/>
              <w:bottom w:val="nil"/>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设置3级水过滤器，过滤精度分别为1.0μm、0.45μm和0.2μm，并提供生产厂家证明文件；</w:t>
            </w:r>
          </w:p>
        </w:tc>
      </w:tr>
      <w:tr w:rsidR="00FB1047" w:rsidTr="004109C1">
        <w:trPr>
          <w:trHeight w:val="624"/>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1.1.8</w:t>
            </w:r>
          </w:p>
        </w:tc>
        <w:tc>
          <w:tcPr>
            <w:tcW w:w="2067" w:type="dxa"/>
            <w:tcBorders>
              <w:top w:val="single" w:sz="4" w:space="0" w:color="auto"/>
              <w:left w:val="nil"/>
              <w:bottom w:val="nil"/>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清洗液、酒精、消毒液计量装置</w:t>
            </w:r>
          </w:p>
        </w:tc>
        <w:tc>
          <w:tcPr>
            <w:tcW w:w="5822" w:type="dxa"/>
            <w:tcBorders>
              <w:top w:val="single" w:sz="4" w:space="0" w:color="auto"/>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清洗液、酒精采用蠕动计量泵，消毒</w:t>
            </w:r>
            <w:proofErr w:type="gramStart"/>
            <w:r>
              <w:rPr>
                <w:rFonts w:ascii="宋体" w:hAnsi="宋体" w:cs="宋体" w:hint="eastAsia"/>
                <w:kern w:val="0"/>
                <w:sz w:val="22"/>
              </w:rPr>
              <w:t>液采用</w:t>
            </w:r>
            <w:proofErr w:type="gramEnd"/>
            <w:r>
              <w:rPr>
                <w:rFonts w:ascii="宋体" w:hAnsi="宋体" w:cs="宋体" w:hint="eastAsia"/>
                <w:kern w:val="0"/>
                <w:sz w:val="22"/>
              </w:rPr>
              <w:t>流量开关计量，计量精度≤1%；</w:t>
            </w:r>
          </w:p>
        </w:tc>
      </w:tr>
      <w:tr w:rsidR="00FB1047" w:rsidTr="004109C1">
        <w:trPr>
          <w:trHeight w:val="288"/>
        </w:trPr>
        <w:tc>
          <w:tcPr>
            <w:tcW w:w="1111" w:type="dxa"/>
            <w:tcBorders>
              <w:top w:val="nil"/>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w:t>
            </w:r>
          </w:p>
        </w:tc>
        <w:tc>
          <w:tcPr>
            <w:tcW w:w="7889" w:type="dxa"/>
            <w:gridSpan w:val="2"/>
            <w:tcBorders>
              <w:top w:val="single" w:sz="4" w:space="0" w:color="auto"/>
              <w:left w:val="nil"/>
              <w:bottom w:val="nil"/>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技术性能</w:t>
            </w:r>
          </w:p>
        </w:tc>
      </w:tr>
      <w:tr w:rsidR="00FB1047" w:rsidTr="004109C1">
        <w:trPr>
          <w:trHeight w:val="468"/>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w:t>
            </w:r>
          </w:p>
        </w:tc>
        <w:tc>
          <w:tcPr>
            <w:tcW w:w="2067" w:type="dxa"/>
            <w:tcBorders>
              <w:top w:val="single" w:sz="4" w:space="0" w:color="auto"/>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每次处理镜子数量</w:t>
            </w:r>
          </w:p>
        </w:tc>
        <w:tc>
          <w:tcPr>
            <w:tcW w:w="5822" w:type="dxa"/>
            <w:tcBorders>
              <w:top w:val="single" w:sz="4" w:space="0" w:color="auto"/>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1条胃肠镜或者1-2条支气管镜</w:t>
            </w:r>
          </w:p>
        </w:tc>
      </w:tr>
      <w:tr w:rsidR="00FB1047" w:rsidTr="004109C1">
        <w:trPr>
          <w:trHeight w:val="720"/>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测漏功能</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具有内镜全程测漏功能，并在测漏结束后释放镜子内部压力；</w:t>
            </w:r>
          </w:p>
        </w:tc>
      </w:tr>
      <w:tr w:rsidR="00FB1047" w:rsidTr="004109C1">
        <w:trPr>
          <w:trHeight w:val="315"/>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1.2.3</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消耗水量</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清洗消毒循环水耗量≤50L</w:t>
            </w:r>
          </w:p>
        </w:tc>
      </w:tr>
      <w:tr w:rsidR="00FB1047" w:rsidTr="004109C1">
        <w:trPr>
          <w:trHeight w:val="315"/>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1.2.4</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自身消毒功能</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不仅能够对设备全管道、槽体进行消毒而且能够对终末漂洗水过滤器反向消毒；</w:t>
            </w:r>
          </w:p>
        </w:tc>
      </w:tr>
      <w:tr w:rsidR="00FB1047" w:rsidTr="004109C1">
        <w:trPr>
          <w:trHeight w:val="6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1.2.5</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加强消毒功能</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延长消毒时间，可用于阳性传染病人检查后的内镜，强化消毒效果；</w:t>
            </w:r>
          </w:p>
        </w:tc>
      </w:tr>
      <w:tr w:rsidR="00FB1047" w:rsidTr="004109C1">
        <w:trPr>
          <w:trHeight w:val="6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1.2.6</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软镜内通道循环泵</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设有独立的内镜管腔增压泵，能够持续</w:t>
            </w:r>
            <w:proofErr w:type="gramStart"/>
            <w:r>
              <w:rPr>
                <w:rFonts w:ascii="宋体" w:hAnsi="宋体" w:cs="宋体" w:hint="eastAsia"/>
                <w:kern w:val="0"/>
                <w:sz w:val="22"/>
              </w:rPr>
              <w:t>洗消注气</w:t>
            </w:r>
            <w:proofErr w:type="gramEnd"/>
            <w:r>
              <w:rPr>
                <w:rFonts w:ascii="宋体" w:hAnsi="宋体" w:cs="宋体" w:hint="eastAsia"/>
                <w:kern w:val="0"/>
                <w:sz w:val="22"/>
              </w:rPr>
              <w:t>、注水官腔，活检、吸引管腔，辅助送水官腔</w:t>
            </w:r>
            <w:proofErr w:type="gramStart"/>
            <w:r>
              <w:rPr>
                <w:rFonts w:ascii="宋体" w:hAnsi="宋体" w:cs="宋体" w:hint="eastAsia"/>
                <w:kern w:val="0"/>
                <w:sz w:val="22"/>
              </w:rPr>
              <w:t>和抬钳器</w:t>
            </w:r>
            <w:proofErr w:type="gramEnd"/>
            <w:r>
              <w:rPr>
                <w:rFonts w:ascii="宋体" w:hAnsi="宋体" w:cs="宋体" w:hint="eastAsia"/>
                <w:kern w:val="0"/>
                <w:sz w:val="22"/>
              </w:rPr>
              <w:t>官腔等；</w:t>
            </w:r>
          </w:p>
        </w:tc>
      </w:tr>
      <w:tr w:rsidR="00FB1047" w:rsidTr="004109C1">
        <w:trPr>
          <w:trHeight w:val="6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1.2.7</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内镜内腔清洗接头</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提供奥林巴斯、宾得、富士能三大品牌内镜内腔清洗接头，提供接头明细；</w:t>
            </w:r>
          </w:p>
        </w:tc>
      </w:tr>
      <w:tr w:rsidR="00FB1047" w:rsidTr="004109C1">
        <w:trPr>
          <w:trHeight w:val="6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1.2.8</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双级旋转喷淋清洗</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设有底部和顶部两级旋转喷淋装置，消除槽内清洗死角；</w:t>
            </w:r>
          </w:p>
        </w:tc>
      </w:tr>
      <w:tr w:rsidR="00FB1047" w:rsidTr="004109C1">
        <w:trPr>
          <w:trHeight w:val="6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1.2.9</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全封闭消毒</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洗消</w:t>
            </w:r>
            <w:proofErr w:type="gramStart"/>
            <w:r>
              <w:rPr>
                <w:rFonts w:ascii="宋体" w:hAnsi="宋体" w:cs="宋体" w:hint="eastAsia"/>
                <w:kern w:val="0"/>
                <w:sz w:val="22"/>
              </w:rPr>
              <w:t>槽采用</w:t>
            </w:r>
            <w:proofErr w:type="gramEnd"/>
            <w:r>
              <w:rPr>
                <w:rFonts w:ascii="宋体" w:hAnsi="宋体" w:cs="宋体" w:hint="eastAsia"/>
                <w:kern w:val="0"/>
                <w:sz w:val="22"/>
              </w:rPr>
              <w:t>全封闭结构，消毒剂气味不向外泄露，最大限度保护操作人员健康。</w:t>
            </w:r>
          </w:p>
        </w:tc>
      </w:tr>
      <w:tr w:rsidR="00FB1047" w:rsidTr="004109C1">
        <w:trPr>
          <w:trHeight w:val="660"/>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1.2.10</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无菌水漂洗</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内置0.2μm无菌水过滤器；消毒后使用0.2μm过滤器过滤的无菌水漂洗，避免不干净的漂洗水再次污染消毒好的内镜。</w:t>
            </w:r>
          </w:p>
        </w:tc>
      </w:tr>
      <w:tr w:rsidR="00FB1047" w:rsidTr="004109C1">
        <w:trPr>
          <w:trHeight w:val="312"/>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1.2.11</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消毒次数记录</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每完成一次清洗消毒流程，自动记录洗消次数；</w:t>
            </w:r>
          </w:p>
        </w:tc>
      </w:tr>
      <w:tr w:rsidR="00FB1047" w:rsidTr="004109C1">
        <w:trPr>
          <w:trHeight w:val="1068"/>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1.2.12</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过程数据打印</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打印每一条内镜清洗消毒的过程数据：操作员编号、程序名称、洗消日期、洗消时间、阶段名称、阶段时间，并提供打印样品扫描件；</w:t>
            </w:r>
          </w:p>
        </w:tc>
      </w:tr>
      <w:tr w:rsidR="00FB1047" w:rsidTr="004109C1">
        <w:trPr>
          <w:trHeight w:val="996"/>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1.2.13</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追溯系统</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采集内镜信息、操作人员信息和内镜清洗消毒的过程数据通过网络与用户的计算机系统连接，实现患者信息与内镜清洗消毒信息管理</w:t>
            </w:r>
          </w:p>
        </w:tc>
      </w:tr>
      <w:tr w:rsidR="00FB1047" w:rsidTr="004109C1">
        <w:trPr>
          <w:trHeight w:val="3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1.2.14</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控制系统</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采用PLC控制；</w:t>
            </w:r>
          </w:p>
        </w:tc>
      </w:tr>
      <w:tr w:rsidR="00FB1047" w:rsidTr="004109C1">
        <w:trPr>
          <w:trHeight w:val="312"/>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lastRenderedPageBreak/>
              <w:t>1.2.15</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触摸屏显示</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采用≥5寸彩色触摸屏显示；</w:t>
            </w:r>
          </w:p>
        </w:tc>
      </w:tr>
      <w:tr w:rsidR="00FB1047" w:rsidTr="004109C1">
        <w:trPr>
          <w:trHeight w:val="6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1.2.16</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显示屏显示内容</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显示屏显示运行过程的程序名称、洗消日期、运行阶段名称和阶段计时等并提供运行界面实物照片；</w:t>
            </w:r>
          </w:p>
        </w:tc>
      </w:tr>
      <w:tr w:rsidR="00FB1047" w:rsidTr="004109C1">
        <w:trPr>
          <w:trHeight w:val="1248"/>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1.2.17</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管理员权限设置</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产品控制系统设有三级权限设置；操作人员拥有一级权限，可完成日常洗消工作；管理员拥有二级权限，可进行程序参数调整；维护人员拥有三级权限，可更改设备内部参数；</w:t>
            </w:r>
          </w:p>
        </w:tc>
      </w:tr>
      <w:tr w:rsidR="00FB1047" w:rsidTr="004109C1">
        <w:trPr>
          <w:trHeight w:val="624"/>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1.2.18</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自动门</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自动门，避免手动开门后，拿取消毒完毕的内镜时产生二次感染</w:t>
            </w:r>
          </w:p>
        </w:tc>
      </w:tr>
      <w:tr w:rsidR="00FB1047" w:rsidTr="004109C1">
        <w:trPr>
          <w:trHeight w:val="312"/>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1.2.19</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玻璃门</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采用钢化玻璃门，可以清晰观察镜子的清洗消毒情况；</w:t>
            </w:r>
          </w:p>
        </w:tc>
      </w:tr>
      <w:tr w:rsidR="00FB1047" w:rsidTr="004109C1">
        <w:trPr>
          <w:trHeight w:val="312"/>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1.2.20</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门脚踏开关</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设有门脚踏开关；</w:t>
            </w:r>
          </w:p>
        </w:tc>
      </w:tr>
      <w:tr w:rsidR="00FB1047" w:rsidTr="004109C1">
        <w:trPr>
          <w:trHeight w:val="312"/>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1.2.21</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灌流监控系统</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具有内灌流压力监测，提供照片佐证</w:t>
            </w:r>
          </w:p>
        </w:tc>
      </w:tr>
      <w:tr w:rsidR="00FB1047" w:rsidTr="004109C1">
        <w:trPr>
          <w:trHeight w:val="636"/>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1.2.22</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管路材质证明</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采用进口经FDA认证的食品级软管，并提供认证证书和报关单；</w:t>
            </w:r>
          </w:p>
        </w:tc>
      </w:tr>
      <w:tr w:rsidR="00FB1047" w:rsidTr="004109C1">
        <w:trPr>
          <w:trHeight w:val="792"/>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1.2.23</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消毒效果检测报告</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分别提供中国疾病预防控制中心(或其它权威第三方机构)出具的产品消毒效果检测报告；</w:t>
            </w:r>
          </w:p>
        </w:tc>
      </w:tr>
      <w:tr w:rsidR="00FB1047" w:rsidTr="004109C1">
        <w:trPr>
          <w:trHeight w:val="540"/>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1.2.24</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医疗器械注册证</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提供二类医疗器械注册证</w:t>
            </w:r>
          </w:p>
        </w:tc>
      </w:tr>
      <w:tr w:rsidR="00FB1047" w:rsidTr="004109C1">
        <w:trPr>
          <w:trHeight w:val="540"/>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1.2.25</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注册检验报告</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提供注册检验报告</w:t>
            </w:r>
          </w:p>
        </w:tc>
      </w:tr>
      <w:tr w:rsidR="00FB1047" w:rsidTr="004109C1">
        <w:trPr>
          <w:trHeight w:val="540"/>
        </w:trPr>
        <w:tc>
          <w:tcPr>
            <w:tcW w:w="1111" w:type="dxa"/>
            <w:tcBorders>
              <w:top w:val="nil"/>
              <w:left w:val="single" w:sz="4" w:space="0" w:color="auto"/>
              <w:bottom w:val="single" w:sz="4" w:space="0" w:color="auto"/>
              <w:right w:val="nil"/>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1.2.26</w:t>
            </w:r>
          </w:p>
        </w:tc>
        <w:tc>
          <w:tcPr>
            <w:tcW w:w="2067" w:type="dxa"/>
            <w:tcBorders>
              <w:top w:val="nil"/>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卫生安全评价报告</w:t>
            </w:r>
          </w:p>
        </w:tc>
        <w:tc>
          <w:tcPr>
            <w:tcW w:w="5822" w:type="dxa"/>
            <w:tcBorders>
              <w:top w:val="nil"/>
              <w:left w:val="nil"/>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提供卫生安全评价报告</w:t>
            </w:r>
          </w:p>
        </w:tc>
      </w:tr>
      <w:tr w:rsidR="00FB1047" w:rsidTr="004109C1">
        <w:trPr>
          <w:trHeight w:val="540"/>
        </w:trPr>
        <w:tc>
          <w:tcPr>
            <w:tcW w:w="1111" w:type="dxa"/>
            <w:tcBorders>
              <w:top w:val="single" w:sz="4" w:space="0" w:color="auto"/>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1.2.27</w:t>
            </w:r>
          </w:p>
        </w:tc>
        <w:tc>
          <w:tcPr>
            <w:tcW w:w="2067" w:type="dxa"/>
            <w:tcBorders>
              <w:top w:val="single" w:sz="4" w:space="0" w:color="auto"/>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电气安全性能检测报告</w:t>
            </w:r>
          </w:p>
        </w:tc>
        <w:tc>
          <w:tcPr>
            <w:tcW w:w="5822" w:type="dxa"/>
            <w:tcBorders>
              <w:top w:val="single" w:sz="4" w:space="0" w:color="auto"/>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提供电气安全性能检测报告</w:t>
            </w:r>
          </w:p>
        </w:tc>
      </w:tr>
      <w:tr w:rsidR="00FB1047" w:rsidTr="004109C1">
        <w:trPr>
          <w:trHeight w:val="540"/>
        </w:trPr>
        <w:tc>
          <w:tcPr>
            <w:tcW w:w="1111" w:type="dxa"/>
            <w:tcBorders>
              <w:top w:val="single" w:sz="4" w:space="0" w:color="auto"/>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1.2.28</w:t>
            </w:r>
          </w:p>
        </w:tc>
        <w:tc>
          <w:tcPr>
            <w:tcW w:w="2067" w:type="dxa"/>
            <w:tcBorders>
              <w:top w:val="single" w:sz="4" w:space="0" w:color="auto"/>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电磁兼容报告</w:t>
            </w:r>
          </w:p>
        </w:tc>
        <w:tc>
          <w:tcPr>
            <w:tcW w:w="5822" w:type="dxa"/>
            <w:tcBorders>
              <w:top w:val="single" w:sz="4" w:space="0" w:color="auto"/>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hint="eastAsia"/>
                <w:kern w:val="0"/>
                <w:sz w:val="22"/>
              </w:rPr>
            </w:pPr>
            <w:r>
              <w:rPr>
                <w:rFonts w:ascii="宋体" w:hAnsi="宋体" w:cs="宋体" w:hint="eastAsia"/>
                <w:kern w:val="0"/>
                <w:sz w:val="22"/>
              </w:rPr>
              <w:t>提供电磁兼容报告</w:t>
            </w:r>
          </w:p>
        </w:tc>
      </w:tr>
      <w:tr w:rsidR="00FB1047" w:rsidTr="004109C1">
        <w:trPr>
          <w:trHeight w:val="540"/>
        </w:trPr>
        <w:tc>
          <w:tcPr>
            <w:tcW w:w="1111" w:type="dxa"/>
            <w:tcBorders>
              <w:top w:val="single" w:sz="4" w:space="0" w:color="auto"/>
              <w:left w:val="single" w:sz="4" w:space="0" w:color="auto"/>
              <w:bottom w:val="single" w:sz="4" w:space="0" w:color="auto"/>
              <w:right w:val="single" w:sz="4" w:space="0" w:color="auto"/>
            </w:tcBorders>
            <w:noWrap/>
            <w:vAlign w:val="center"/>
          </w:tcPr>
          <w:p w:rsidR="00FB1047" w:rsidRDefault="00FB1047" w:rsidP="004109C1">
            <w:pPr>
              <w:widowControl/>
              <w:jc w:val="left"/>
              <w:rPr>
                <w:rFonts w:ascii="宋体" w:hAnsi="宋体" w:cs="宋体"/>
                <w:kern w:val="0"/>
                <w:sz w:val="22"/>
              </w:rPr>
            </w:pPr>
            <w:r>
              <w:rPr>
                <w:rFonts w:ascii="宋体" w:hAnsi="宋体" w:cs="宋体" w:hint="eastAsia"/>
                <w:kern w:val="0"/>
                <w:sz w:val="22"/>
              </w:rPr>
              <w:t>1.3</w:t>
            </w:r>
          </w:p>
        </w:tc>
        <w:tc>
          <w:tcPr>
            <w:tcW w:w="2067" w:type="dxa"/>
            <w:tcBorders>
              <w:top w:val="single" w:sz="4" w:space="0" w:color="auto"/>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kern w:val="0"/>
                <w:sz w:val="22"/>
              </w:rPr>
            </w:pPr>
            <w:r>
              <w:rPr>
                <w:rFonts w:ascii="宋体" w:hAnsi="宋体" w:cs="宋体" w:hint="eastAsia"/>
                <w:kern w:val="0"/>
                <w:sz w:val="22"/>
              </w:rPr>
              <w:t>设备验证资质</w:t>
            </w:r>
          </w:p>
        </w:tc>
        <w:tc>
          <w:tcPr>
            <w:tcW w:w="5822" w:type="dxa"/>
            <w:tcBorders>
              <w:top w:val="single" w:sz="4" w:space="0" w:color="auto"/>
              <w:left w:val="single" w:sz="4" w:space="0" w:color="auto"/>
              <w:bottom w:val="single" w:sz="4" w:space="0" w:color="auto"/>
              <w:right w:val="single" w:sz="4" w:space="0" w:color="auto"/>
            </w:tcBorders>
            <w:vAlign w:val="center"/>
          </w:tcPr>
          <w:p w:rsidR="00FB1047" w:rsidRDefault="00FB1047" w:rsidP="004109C1">
            <w:pPr>
              <w:widowControl/>
              <w:jc w:val="left"/>
              <w:rPr>
                <w:rFonts w:ascii="宋体" w:hAnsi="宋体" w:cs="宋体"/>
                <w:kern w:val="0"/>
                <w:sz w:val="22"/>
              </w:rPr>
            </w:pPr>
            <w:r>
              <w:rPr>
                <w:rFonts w:ascii="宋体" w:hAnsi="宋体" w:cs="宋体" w:hint="eastAsia"/>
                <w:kern w:val="0"/>
                <w:sz w:val="22"/>
              </w:rPr>
              <w:t>生产厂家具备实验室认证资质</w:t>
            </w:r>
          </w:p>
        </w:tc>
      </w:tr>
    </w:tbl>
    <w:p w:rsidR="00FB1047" w:rsidRDefault="00FB1047" w:rsidP="00FB1047">
      <w:pPr>
        <w:widowControl/>
        <w:jc w:val="left"/>
        <w:rPr>
          <w:rFonts w:ascii="宋体" w:hAnsi="宋体" w:cs="宋体" w:hint="eastAsia"/>
          <w:kern w:val="0"/>
          <w:sz w:val="22"/>
        </w:rPr>
      </w:pPr>
    </w:p>
    <w:p w:rsidR="00FB1047" w:rsidRDefault="00FB1047" w:rsidP="00FB1047">
      <w:pPr>
        <w:spacing w:line="360" w:lineRule="auto"/>
        <w:jc w:val="left"/>
        <w:rPr>
          <w:rFonts w:ascii="宋体" w:hAnsi="宋体" w:cs="宋体"/>
          <w:color w:val="333333"/>
          <w:sz w:val="24"/>
        </w:rPr>
      </w:pPr>
    </w:p>
    <w:p w:rsidR="002942D2" w:rsidRPr="00FB1047" w:rsidRDefault="002942D2"/>
    <w:sectPr w:rsidR="002942D2" w:rsidRPr="00FB104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92" w:rsidRDefault="00CE0392" w:rsidP="00FB1047">
      <w:r>
        <w:separator/>
      </w:r>
    </w:p>
  </w:endnote>
  <w:endnote w:type="continuationSeparator" w:id="0">
    <w:p w:rsidR="00CE0392" w:rsidRDefault="00CE0392" w:rsidP="00FB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92" w:rsidRDefault="00CE0392" w:rsidP="00FB1047">
      <w:r>
        <w:separator/>
      </w:r>
    </w:p>
  </w:footnote>
  <w:footnote w:type="continuationSeparator" w:id="0">
    <w:p w:rsidR="00CE0392" w:rsidRDefault="00CE0392" w:rsidP="00FB1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2F"/>
    <w:rsid w:val="00047B2F"/>
    <w:rsid w:val="002942D2"/>
    <w:rsid w:val="00CE0392"/>
    <w:rsid w:val="00FB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1047"/>
    <w:rPr>
      <w:sz w:val="18"/>
      <w:szCs w:val="18"/>
    </w:rPr>
  </w:style>
  <w:style w:type="paragraph" w:styleId="a4">
    <w:name w:val="footer"/>
    <w:basedOn w:val="a"/>
    <w:link w:val="Char0"/>
    <w:uiPriority w:val="99"/>
    <w:unhideWhenUsed/>
    <w:rsid w:val="00FB10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10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1047"/>
    <w:rPr>
      <w:sz w:val="18"/>
      <w:szCs w:val="18"/>
    </w:rPr>
  </w:style>
  <w:style w:type="paragraph" w:styleId="a4">
    <w:name w:val="footer"/>
    <w:basedOn w:val="a"/>
    <w:link w:val="Char0"/>
    <w:uiPriority w:val="99"/>
    <w:unhideWhenUsed/>
    <w:rsid w:val="00FB10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10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2020-01-16T09:47:00Z</dcterms:created>
  <dcterms:modified xsi:type="dcterms:W3CDTF">2020-01-16T09:48:00Z</dcterms:modified>
</cp:coreProperties>
</file>