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  <w:t>附件：货物需求和技术参数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  <w:t>设备名称：多功能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电动手术床1张（神经外科)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一、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整体要求：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  <w:lang w:eastAsia="zh-CN"/>
              </w:rPr>
              <w:t>国际知名品牌，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</w:rPr>
              <w:t>原装进口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8"/>
                <w:highlight w:val="none"/>
              </w:rPr>
              <w:t>(提供进口报关单)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手术床须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提供进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或许字号医疗器械注册证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适用范围：适用于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脑外科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、普通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外科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、胃肠外科、泌尿科、肛肠科、骨科、妇产科等各类手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术；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能取平卧、俯卧位、侧卧位、截石位、头低足高位等。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二、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功能要求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全电动控制多功能四段面手术床，必须具备电动升降、电动左右倾斜、前后倾斜、电动双纵向平移、电动背板上下、电动腰上腰下（即V型与反V型）、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具备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电动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一键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刹车、电动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键复位、电动水平定位等装置功能，缺一不可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使用安全可靠。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手术床采用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中心柱设计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手术床底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盖和中心柱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必须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使用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304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不锈钢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制成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能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防腐蚀、易清洁保养，使用寿命长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手术床台床垫防静电、防导电、抗菌设计，易清洁消毒。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手术床台面具备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旋转功能。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配置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有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手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控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器和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辅助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控制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二套控制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系统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若手控器发生故障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时，辅助控制器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可提供手术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床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的基本操作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，保障手术床可继续使用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具备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键复位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功能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配置有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电动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刹车系统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手术床移动轮具备四轮万向功能，手术台能够更高效位移操作(提供制造商彩页证明)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配置有可调节、可拆卸气压腿板(提供制造商彩页证明)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技术参数要求：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手术床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长度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≥2000mm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手术床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宽度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(不含侧轨)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≤500mm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升降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高度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（不含床垫）：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最高≤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1010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手术床台面最低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≤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520mm,超低位设计，为外科医生提供更方便的手术坐姿高度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腰部上升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下降：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8"/>
                <w:szCs w:val="28"/>
                <w:highlight w:val="none"/>
              </w:rPr>
              <w:t>≥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220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100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电动纵向倾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前倾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/后倾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）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/26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电动横向倾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斜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左倾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/右倾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）：≥＋2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头板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上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：≥60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90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电动背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板上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：≥80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40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腿板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上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/下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：≥15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90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水平展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开0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/18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vertAlign w:val="superscript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最大承载：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≥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270kg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(提供制造商彩页证明)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、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配置清单：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主床体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头板：1副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  <w:t>手臂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板：1副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气压腿板：1副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手按控制器：1个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辅助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</w:rPr>
              <w:t>控制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手术专用抗静电床垫（不导电材料）：1副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麻醉布帘架：1副（附万向连接器）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手脚绑带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及束体带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：1套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大腿架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:1副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</w:rPr>
              <w:t>侧卧手架:1副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4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腰架：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2副（4只）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  <w:t>注：以上参数均为关键性技术参数，供应商需无条件满足，否则视为无效报价。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27676"/>
    <w:rsid w:val="54A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hint="eastAsia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2020-08-31T02:31:00Z</dcterms:created>
  <dc:creator>Administrator</dc:creator>
  <cp:lastModifiedBy>Administrator</cp:lastModifiedBy>
  <dcterms:modified xsi:type="dcterms:W3CDTF">2020-08-31T02:32:13Z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